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line="276" w:lineRule="auto"/>
        <w:jc w:val="center"/>
        <w:rPr>
          <w:rFonts w:ascii="Arial Narrow" w:hAnsi="Arial Narrow" w:eastAsia="黑体"/>
          <w:b/>
          <w:sz w:val="52"/>
          <w:szCs w:val="52"/>
        </w:rPr>
      </w:pPr>
      <w:r>
        <w:rPr>
          <w:rFonts w:hint="eastAsia" w:ascii="Arial Narrow" w:hAnsi="黑体" w:eastAsia="黑体" w:cs="宋体"/>
          <w:b/>
          <w:sz w:val="52"/>
          <w:szCs w:val="52"/>
        </w:rPr>
        <w:t>全国职业院校技能大赛</w:t>
      </w:r>
    </w:p>
    <w:p>
      <w:pPr>
        <w:snapToGrid w:val="0"/>
        <w:spacing w:line="276" w:lineRule="auto"/>
        <w:jc w:val="center"/>
        <w:rPr>
          <w:rFonts w:hint="eastAsia" w:ascii="Arial Narrow" w:hAnsi="黑体" w:eastAsia="黑体" w:cs="宋体"/>
          <w:b/>
          <w:sz w:val="36"/>
          <w:szCs w:val="36"/>
        </w:rPr>
      </w:pPr>
      <w:r>
        <w:rPr>
          <w:rFonts w:hint="eastAsia" w:ascii="Arial Narrow" w:hAnsi="黑体" w:eastAsia="黑体" w:cs="宋体"/>
          <w:b/>
          <w:sz w:val="36"/>
          <w:szCs w:val="36"/>
          <w:lang w:val="en-US" w:eastAsia="zh-CN"/>
        </w:rPr>
        <w:t>高职组</w:t>
      </w:r>
      <w:r>
        <w:rPr>
          <w:rFonts w:hint="eastAsia" w:ascii="Arial Narrow" w:hAnsi="黑体" w:eastAsia="黑体" w:cs="宋体"/>
          <w:b/>
          <w:sz w:val="36"/>
          <w:szCs w:val="36"/>
        </w:rPr>
        <w:t>创新创业</w:t>
      </w:r>
      <w:bookmarkStart w:id="0" w:name="_GoBack"/>
      <w:bookmarkEnd w:id="0"/>
      <w:r>
        <w:rPr>
          <w:rFonts w:hint="eastAsia" w:ascii="Arial Narrow" w:hAnsi="黑体" w:eastAsia="黑体" w:cs="宋体"/>
          <w:b/>
          <w:sz w:val="36"/>
          <w:szCs w:val="36"/>
        </w:rPr>
        <w:t>赛项-知识部分</w:t>
      </w:r>
    </w:p>
    <w:p>
      <w:pPr>
        <w:snapToGrid w:val="0"/>
        <w:spacing w:line="276" w:lineRule="auto"/>
        <w:jc w:val="center"/>
        <w:rPr>
          <w:rFonts w:hint="default" w:ascii="Arial Narrow" w:hAnsi="黑体" w:eastAsia="黑体" w:cs="宋体"/>
          <w:b/>
          <w:sz w:val="36"/>
          <w:szCs w:val="36"/>
          <w:lang w:val="en-US" w:eastAsia="zh-CN"/>
        </w:rPr>
      </w:pPr>
      <w:r>
        <w:rPr>
          <w:rFonts w:hint="eastAsia" w:ascii="Arial Narrow" w:hAnsi="黑体" w:eastAsia="黑体" w:cs="宋体"/>
          <w:b/>
          <w:sz w:val="36"/>
          <w:szCs w:val="36"/>
          <w:lang w:val="en-US" w:eastAsia="zh-CN"/>
        </w:rPr>
        <w:t>第六套</w:t>
      </w:r>
    </w:p>
    <w:p>
      <w:pPr>
        <w:snapToGrid w:val="0"/>
        <w:spacing w:line="276" w:lineRule="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按选手所获成绩×10%计入总成绩。</w:t>
      </w:r>
    </w:p>
    <w:p>
      <w:pPr>
        <w:snapToGrid w:val="0"/>
        <w:spacing w:before="156" w:beforeLines="50" w:after="156" w:afterLines="50" w:line="276" w:lineRule="auto"/>
        <w:rPr>
          <w:b/>
          <w:bCs/>
          <w:sz w:val="28"/>
          <w:szCs w:val="28"/>
        </w:rPr>
      </w:pPr>
      <w:r>
        <w:rPr>
          <w:rFonts w:hint="eastAsia"/>
          <w:b/>
          <w:bCs/>
          <w:sz w:val="28"/>
          <w:szCs w:val="28"/>
        </w:rPr>
        <w:t>一、简答（每题</w:t>
      </w:r>
      <w:r>
        <w:rPr>
          <w:rFonts w:hint="eastAsia"/>
          <w:b/>
          <w:bCs/>
          <w:sz w:val="28"/>
          <w:szCs w:val="28"/>
          <w:lang w:val="en-US" w:eastAsia="zh-CN"/>
        </w:rPr>
        <w:t>15</w:t>
      </w:r>
      <w:r>
        <w:rPr>
          <w:rFonts w:hint="eastAsia"/>
          <w:b/>
          <w:bCs/>
          <w:sz w:val="28"/>
          <w:szCs w:val="28"/>
        </w:rPr>
        <w:t>分，共</w:t>
      </w:r>
      <w:r>
        <w:rPr>
          <w:b/>
          <w:bCs/>
          <w:sz w:val="28"/>
          <w:szCs w:val="28"/>
        </w:rPr>
        <w:t>30</w:t>
      </w:r>
      <w:r>
        <w:rPr>
          <w:rFonts w:hint="eastAsia"/>
          <w:b/>
          <w:bCs/>
          <w:sz w:val="28"/>
          <w:szCs w:val="28"/>
        </w:rPr>
        <w:t>分）</w:t>
      </w:r>
    </w:p>
    <w:p>
      <w:pPr>
        <w:rPr>
          <w:rFonts w:hint="eastAsia"/>
          <w:b/>
          <w:bCs/>
          <w:sz w:val="28"/>
          <w:szCs w:val="28"/>
          <w:lang w:val="en-US" w:eastAsia="zh-CN"/>
        </w:rPr>
      </w:pPr>
      <w:r>
        <w:rPr>
          <w:rFonts w:hint="eastAsia"/>
          <w:b/>
          <w:bCs/>
          <w:sz w:val="28"/>
          <w:szCs w:val="28"/>
          <w:lang w:val="en-US" w:eastAsia="zh-CN"/>
        </w:rPr>
        <w:t>1.简述创业团队组建的五个基本要素。</w:t>
      </w:r>
    </w:p>
    <w:p>
      <w:pPr>
        <w:rPr>
          <w:rFonts w:hint="eastAsia" w:ascii="Calibri" w:hAnsi="Calibri" w:eastAsia="宋体" w:cs="Times New Roman"/>
          <w:color w:val="auto"/>
          <w:sz w:val="24"/>
          <w:szCs w:val="24"/>
          <w:lang w:val="en-US" w:eastAsia="zh-CN"/>
        </w:rPr>
      </w:pPr>
      <w:r>
        <w:rPr>
          <w:rFonts w:hint="eastAsia"/>
          <w:color w:val="FF0000"/>
          <w:sz w:val="24"/>
          <w:szCs w:val="24"/>
          <w:lang w:val="en-US" w:eastAsia="zh-CN"/>
        </w:rPr>
        <w:t>参考答案：</w:t>
      </w:r>
      <w:r>
        <w:rPr>
          <w:rFonts w:hint="eastAsia" w:ascii="Calibri" w:hAnsi="Calibri" w:eastAsia="宋体" w:cs="Times New Roman"/>
          <w:color w:val="auto"/>
          <w:sz w:val="24"/>
          <w:szCs w:val="24"/>
          <w:lang w:val="en-US" w:eastAsia="zh-CN"/>
        </w:rPr>
        <w:t>目标(Purpose)、计划(Plan)、人(People)、定位(Place)、权力(Power)</w:t>
      </w:r>
    </w:p>
    <w:p>
      <w:pPr>
        <w:rPr>
          <w:rFonts w:hint="eastAsia"/>
          <w:b/>
          <w:bCs/>
          <w:sz w:val="28"/>
          <w:szCs w:val="28"/>
          <w:lang w:val="en-US" w:eastAsia="zh-CN"/>
        </w:rPr>
      </w:pPr>
      <w:r>
        <w:rPr>
          <w:rFonts w:hint="eastAsia"/>
          <w:b/>
          <w:bCs/>
          <w:sz w:val="28"/>
          <w:szCs w:val="28"/>
          <w:lang w:val="en-US" w:eastAsia="zh-CN"/>
        </w:rPr>
        <w:t>2.A公司2020年销售报表（单位：元）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0"/>
        <w:gridCol w:w="2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年度</w:t>
            </w:r>
          </w:p>
        </w:tc>
        <w:tc>
          <w:tcPr>
            <w:tcW w:w="2543" w:type="dxa"/>
            <w:noWrap/>
          </w:tcPr>
          <w:p>
            <w:r>
              <w:t>2020</w:t>
            </w:r>
            <w:r>
              <w:rPr>
                <w:rFonts w:hint="eastAsia"/>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t>总收入</w:t>
            </w:r>
          </w:p>
        </w:tc>
        <w:tc>
          <w:tcPr>
            <w:tcW w:w="2543" w:type="dxa"/>
            <w:noWrap/>
          </w:tcPr>
          <w:p>
            <w:r>
              <w:t>2058704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600" w:type="dxa"/>
            <w:noWrap/>
          </w:tcPr>
          <w:p>
            <w:r>
              <w:rPr>
                <w:rFonts w:hint="eastAsia"/>
              </w:rPr>
              <w:t>产品成本</w:t>
            </w:r>
          </w:p>
        </w:tc>
        <w:tc>
          <w:tcPr>
            <w:tcW w:w="2543" w:type="dxa"/>
            <w:noWrap/>
          </w:tcPr>
          <w:p>
            <w:r>
              <w:t>1486184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毛利润</w:t>
            </w:r>
          </w:p>
        </w:tc>
        <w:tc>
          <w:tcPr>
            <w:tcW w:w="2543" w:type="dxa"/>
            <w:noWrap/>
          </w:tcPr>
          <w:p>
            <w:r>
              <w:rPr>
                <w:rFonts w:hint="eastAsia"/>
              </w:rPr>
              <w:t>572520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人员工资</w:t>
            </w:r>
          </w:p>
        </w:tc>
        <w:tc>
          <w:tcPr>
            <w:tcW w:w="2543" w:type="dxa"/>
            <w:noWrap/>
          </w:tcPr>
          <w:p>
            <w:r>
              <w:t>94250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600" w:type="dxa"/>
            <w:noWrap/>
          </w:tcPr>
          <w:p>
            <w:r>
              <w:rPr>
                <w:rFonts w:hint="eastAsia"/>
              </w:rPr>
              <w:t>办公租赁费用</w:t>
            </w:r>
          </w:p>
        </w:tc>
        <w:tc>
          <w:tcPr>
            <w:tcW w:w="2543" w:type="dxa"/>
            <w:noWrap/>
          </w:tcPr>
          <w:p>
            <w:r>
              <w:t>25000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销售和市场推广费用</w:t>
            </w:r>
          </w:p>
        </w:tc>
        <w:tc>
          <w:tcPr>
            <w:tcW w:w="2543" w:type="dxa"/>
            <w:noWrap/>
          </w:tcPr>
          <w:p>
            <w:r>
              <w:t>8826.4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财务费用</w:t>
            </w:r>
          </w:p>
        </w:tc>
        <w:tc>
          <w:tcPr>
            <w:tcW w:w="2543" w:type="dxa"/>
            <w:noWrap/>
          </w:tcPr>
          <w:p>
            <w:r>
              <w:t>3275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2600" w:type="dxa"/>
            <w:noWrap/>
          </w:tcPr>
          <w:p>
            <w:r>
              <w:rPr>
                <w:rFonts w:hint="eastAsia"/>
              </w:rPr>
              <w:t>杂项费用</w:t>
            </w:r>
          </w:p>
        </w:tc>
        <w:tc>
          <w:tcPr>
            <w:tcW w:w="2543" w:type="dxa"/>
            <w:noWrap/>
          </w:tcPr>
          <w:p>
            <w:r>
              <w:t>8790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总开支</w:t>
            </w:r>
          </w:p>
        </w:tc>
        <w:tc>
          <w:tcPr>
            <w:tcW w:w="2543" w:type="dxa"/>
            <w:noWrap/>
          </w:tcPr>
          <w:p>
            <w:r>
              <w:t>140141.4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600" w:type="dxa"/>
            <w:noWrap/>
          </w:tcPr>
          <w:p>
            <w:r>
              <w:rPr>
                <w:rFonts w:hint="eastAsia"/>
              </w:rPr>
              <w:t>净利润</w:t>
            </w:r>
          </w:p>
        </w:tc>
        <w:tc>
          <w:tcPr>
            <w:tcW w:w="2543" w:type="dxa"/>
            <w:noWrap/>
          </w:tcPr>
          <w:p>
            <w:r>
              <w:rPr>
                <w:rFonts w:hint="eastAsia"/>
              </w:rPr>
              <w:t>432378.6</w:t>
            </w:r>
          </w:p>
        </w:tc>
      </w:tr>
    </w:tbl>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根据A公司的销售报表，计算2020年度A公司的销售毛利润率是多少？总开支中的哪些费用占比最大？销售与市场推广费用在总开支中占比是多少？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Calibri" w:hAnsi="Calibri" w:eastAsia="宋体" w:cs="Times New Roman"/>
          <w:color w:val="auto"/>
          <w:sz w:val="24"/>
          <w:szCs w:val="24"/>
          <w:lang w:val="en-US" w:eastAsia="zh-CN"/>
        </w:rPr>
      </w:pPr>
      <w:r>
        <w:rPr>
          <w:rFonts w:hint="eastAsia"/>
          <w:color w:val="FF0000"/>
          <w:sz w:val="24"/>
          <w:szCs w:val="24"/>
          <w:lang w:val="en-US" w:eastAsia="zh-CN"/>
        </w:rPr>
        <w:t>参考答案：</w:t>
      </w:r>
      <w:r>
        <w:rPr>
          <w:rFonts w:hint="eastAsia"/>
          <w:color w:val="auto"/>
          <w:sz w:val="24"/>
          <w:szCs w:val="24"/>
          <w:lang w:val="en-US" w:eastAsia="zh-CN"/>
        </w:rPr>
        <w:t>27</w:t>
      </w:r>
      <w:r>
        <w:rPr>
          <w:rFonts w:hint="eastAsia" w:ascii="Calibri" w:hAnsi="Calibri" w:eastAsia="宋体" w:cs="Times New Roman"/>
          <w:color w:val="auto"/>
          <w:sz w:val="24"/>
          <w:szCs w:val="24"/>
          <w:lang w:val="en-US" w:eastAsia="zh-CN"/>
        </w:rPr>
        <w:t>.81%、人员工资开支占比最大、6.3%</w:t>
      </w:r>
      <w:r>
        <w:rPr>
          <w:rFonts w:hint="eastAsia" w:cs="Times New Roman"/>
          <w:color w:val="auto"/>
          <w:sz w:val="24"/>
          <w:szCs w:val="24"/>
          <w:lang w:val="en-US" w:eastAsia="zh-CN"/>
        </w:rPr>
        <w:t>。</w:t>
      </w:r>
    </w:p>
    <w:p>
      <w:pPr>
        <w:snapToGrid w:val="0"/>
        <w:spacing w:before="156" w:beforeLines="50" w:after="156" w:afterLines="50" w:line="276" w:lineRule="auto"/>
        <w:rPr>
          <w:rFonts w:hint="eastAsia"/>
          <w:b/>
          <w:bCs/>
          <w:sz w:val="28"/>
          <w:szCs w:val="28"/>
          <w:lang w:val="en-US" w:eastAsia="zh-CN"/>
        </w:rPr>
      </w:pPr>
      <w:r>
        <w:rPr>
          <w:rFonts w:hint="eastAsia"/>
          <w:b/>
          <w:bCs/>
          <w:sz w:val="28"/>
          <w:szCs w:val="28"/>
          <w:lang w:val="en-US" w:eastAsia="zh-CN"/>
        </w:rPr>
        <w:t>二、论述题（30分）</w:t>
      </w:r>
    </w:p>
    <w:p>
      <w:pPr>
        <w:spacing w:line="276" w:lineRule="auto"/>
        <w:ind w:firstLine="562" w:firstLineChars="200"/>
        <w:rPr>
          <w:rFonts w:hint="eastAsia" w:eastAsia="宋体"/>
          <w:b/>
          <w:bCs/>
          <w:sz w:val="28"/>
          <w:szCs w:val="28"/>
          <w:lang w:eastAsia="zh-CN"/>
        </w:rPr>
      </w:pPr>
      <w:r>
        <w:rPr>
          <w:rFonts w:hint="eastAsia"/>
          <w:b/>
          <w:bCs/>
          <w:sz w:val="28"/>
          <w:szCs w:val="28"/>
          <w:lang w:val="en-US" w:eastAsia="zh-CN"/>
        </w:rPr>
        <w:t>创业者需要具备哪些能力</w:t>
      </w:r>
      <w:r>
        <w:rPr>
          <w:rFonts w:hint="eastAsia"/>
          <w:b/>
          <w:bCs/>
          <w:sz w:val="28"/>
          <w:szCs w:val="28"/>
          <w:lang w:eastAsia="zh-CN"/>
        </w:rPr>
        <w:t>？</w:t>
      </w:r>
    </w:p>
    <w:p>
      <w:pPr>
        <w:spacing w:after="100" w:afterAutospacing="1" w:line="276" w:lineRule="auto"/>
        <w:jc w:val="left"/>
        <w:rPr>
          <w:rFonts w:hint="eastAsia"/>
          <w:color w:val="FF0000"/>
          <w:sz w:val="24"/>
          <w:szCs w:val="24"/>
        </w:rPr>
      </w:pPr>
      <w:r>
        <w:rPr>
          <w:rFonts w:hint="eastAsia"/>
          <w:color w:val="FF0000"/>
          <w:sz w:val="24"/>
          <w:szCs w:val="24"/>
        </w:rPr>
        <w:t>答题参考：</w:t>
      </w:r>
    </w:p>
    <w:p>
      <w:pPr>
        <w:spacing w:line="276" w:lineRule="auto"/>
        <w:jc w:val="left"/>
        <w:rPr>
          <w:rFonts w:hint="default" w:cs="Times New Roman"/>
          <w:sz w:val="24"/>
          <w:szCs w:val="24"/>
          <w:lang w:val="en-US" w:eastAsia="zh-CN"/>
        </w:rPr>
      </w:pPr>
      <w:r>
        <w:rPr>
          <w:rFonts w:hint="eastAsia" w:cs="Times New Roman"/>
          <w:sz w:val="24"/>
          <w:szCs w:val="24"/>
          <w:lang w:val="en-US" w:eastAsia="zh-CN"/>
        </w:rPr>
        <w:t>1.创新能力，2.营销能力，3.管理能力，4.运营能力，5.财务能力，6.人际交往能力，7.决策能力，8.懂得取舍能力，9.紧跟社会变革能力。</w:t>
      </w:r>
    </w:p>
    <w:p>
      <w:pPr>
        <w:spacing w:line="276" w:lineRule="auto"/>
        <w:jc w:val="left"/>
        <w:rPr>
          <w:rFonts w:hint="eastAsia"/>
          <w:b/>
          <w:bCs/>
          <w:sz w:val="28"/>
          <w:szCs w:val="28"/>
          <w:lang w:val="en-US" w:eastAsia="zh-CN"/>
        </w:rPr>
      </w:pPr>
      <w:r>
        <w:rPr>
          <w:rFonts w:hint="eastAsia"/>
          <w:b/>
          <w:bCs/>
          <w:sz w:val="28"/>
          <w:szCs w:val="28"/>
          <w:lang w:val="en-US" w:eastAsia="zh-CN"/>
        </w:rPr>
        <w:t>三、案例题（40分）</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在 2016 年岁末的海口，金立发布了旗下年度旗舰新品“M2017 ”，顶配版过万，只接受私人定制，全球限量发售。</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在华为手机价格突破4000元禁区后，金立竟将年度旗舰手机价格定在了6 000元以上，私人定制版甚至高达16999元。在董事长刘立荣看来，金立的目6000元并不是一个很高的坎，目标用户需要一款有别于苹果，同时又可以彰显身份的特色产品。金立M2017就扮演了这样的角色集大成者，可以超过苹果手机的用户体验和身份认同。</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尽管发布会之前已经得知，金立M2017将是一款定位于商务的高价手机。但在价格公布之后，仍是让在场的媒体一片唏嘘:金立此前产品最高4000元左右(定位商务的W系列)，而此款产品直接提升至6999元。在国产手机中，4 000元已经是“天花板”了。金立M2017的6 999元和鳄鱼皮私人定制版16999元的价格是由董事长亲自拍板决定的。金立将价格定为6999元主要有四个原因。</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其一是为了满足特定人群的需求。金立的很多目标客户用的是苹果，但其实他们不太愿意用苹果，因为很多人都在用，但又不愿意用一部2000-3000元甚至更便宜的手机。因此，M2017是为了满足目标客户的差异化需求。M2017的目标用户主要由政商高端人士和区域大佬构成，都是有影响力的消费群体。因此，金立M2017选择让著名导演冯小刚及夫人徐帆代言，借此向外传递“‘科技十人文”的理念。</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其二是M2017在配置上是一个集大成者，几乎拥有目前所有流行的顶配，1200万十1300万光学双倍变焦双摄、6GB+128GB内存、5.7英寸2K曲面屏、高骁龙处理器、7 000毫安时电池、内置安全加密芯片、活体指纹、小牛皮背壳等等。金立M2017的2K曲面屏来自三星，订单是100万部。这也是M2017的目标销量。</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其三是考虑到2016年金立4000元价位段的手机销量。该价位段手机销量非常好，达到了50万~60万部。金立势必会下功夫激励、诱导这些忠诚客户购买M2017。</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其四，M2017的定价更是为了提升全立的品牌溢价。现在手机厂商的竞争模式已经不仅仅是成本、价格的竞争，最核心的价值是品牌，或者说具备溢价能力的品牌才能生存。所以，几乎所有的手机品都在做一件事情，就是要进攻高端，提升品牌的溢价能力。单纯的价格战已经不足上年以维持企业的生存，这也是金立推出M2017的一个重要原因。</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元器件价格的不断上涨是手机厂商必须不断提升溢价能力的一个很重要因素。从2016年上半年开始，LCD显示屏就一直缺货，厂家的价格涨了3倍。</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M2017的推出不仅可以提升高端产品的销量，同时也会带动中低端的销量。2016年金立品牌采取了不少创新的营销手段，例如，邀请冯小刚和余文乐进行代言，还赞助了娱乐电视节目等。金立在2016年的全球出货量超过4 000万部，较上年的3 000万部增长超过30%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1.如何理解当时金立手机的高价策略?你认为这种策略能够收到理想的效果吗?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参考答案：金立手机高价策略目的在于将目标市场定位于高端人士。这种策略难以收到理想效果，当时高端手机市场需求仍有待培植，并且金立以往手机的目标市场并非高端用户，其品牌形象不一定能使用户彰显身份，用户认可度不高。</w:t>
      </w:r>
      <w:r>
        <w:rPr>
          <w:rFonts w:hint="eastAsia" w:ascii="Calibri" w:hAnsi="Calibri" w:eastAsia="宋体" w:cs="Times New Roman"/>
          <w:color w:val="auto"/>
          <w:sz w:val="24"/>
          <w:szCs w:val="24"/>
          <w:lang w:val="en-US" w:eastAsia="zh-CN"/>
        </w:rPr>
        <w:br w:type="textWrapping"/>
      </w:r>
      <w:r>
        <w:rPr>
          <w:rFonts w:hint="eastAsia" w:cs="Times New Roman"/>
          <w:color w:val="auto"/>
          <w:sz w:val="24"/>
          <w:szCs w:val="24"/>
          <w:lang w:val="en-US" w:eastAsia="zh-CN"/>
        </w:rPr>
        <w:t xml:space="preserve">    </w:t>
      </w:r>
      <w:r>
        <w:rPr>
          <w:rFonts w:hint="eastAsia" w:ascii="Calibri" w:hAnsi="Calibri" w:eastAsia="宋体" w:cs="Times New Roman"/>
          <w:color w:val="auto"/>
          <w:sz w:val="24"/>
          <w:szCs w:val="24"/>
          <w:lang w:val="en-US" w:eastAsia="zh-CN"/>
        </w:rPr>
        <w:t>2.金立手机坚持高价策略的理由是否充足?假如你是金立的高管，你将如何看待这个问题?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参考答案：金立手机坚持高价的理由不充足，忠诚顾客并不一定会购买此款高端手机，苹果手机高价位和高质量的品牌形象已经在大众心中形成，金立手机难以取而代之。我会建议对已有的忠诚顾客以及潜在高端客户进行调查访问，了解其对金立品牌的看法和需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3.金立手机采取了哪些定价方法?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Calibri" w:hAnsi="Calibri" w:eastAsia="宋体" w:cs="Times New Roman"/>
          <w:color w:val="auto"/>
          <w:sz w:val="24"/>
          <w:szCs w:val="24"/>
          <w:lang w:val="en-US" w:eastAsia="zh-CN"/>
        </w:rPr>
      </w:pPr>
      <w:r>
        <w:rPr>
          <w:rFonts w:hint="eastAsia" w:ascii="Calibri" w:hAnsi="Calibri" w:eastAsia="宋体" w:cs="Times New Roman"/>
          <w:color w:val="auto"/>
          <w:sz w:val="24"/>
          <w:szCs w:val="24"/>
          <w:lang w:val="en-US" w:eastAsia="zh-CN"/>
        </w:rPr>
        <w:t>参考答案：金立手机采取了尾数定价和声望定价的方法。</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Calibri" w:hAnsi="Calibri" w:eastAsia="宋体" w:cs="Times New Roman"/>
          <w:color w:val="auto"/>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panose1 w:val="020B0606020202030204"/>
    <w:charset w:val="00"/>
    <w:family w:val="swiss"/>
    <w:pitch w:val="default"/>
    <w:sig w:usb0="00000287" w:usb1="00000800" w:usb2="00000000" w:usb3="00000000" w:csb0="2000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F4603"/>
    <w:rsid w:val="10187FA7"/>
    <w:rsid w:val="1B9C06DD"/>
    <w:rsid w:val="1D430730"/>
    <w:rsid w:val="2FC91D15"/>
    <w:rsid w:val="38AF4603"/>
    <w:rsid w:val="3F2C1AC7"/>
    <w:rsid w:val="47283E47"/>
    <w:rsid w:val="54105CE9"/>
    <w:rsid w:val="56EC69A7"/>
    <w:rsid w:val="5EFB7AF3"/>
    <w:rsid w:val="70FB20C1"/>
    <w:rsid w:val="726B70F0"/>
    <w:rsid w:val="7F6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2021-03-22T09:43:00Z</dcterms:created>
  <dcterms:modified xsi:type="dcterms:W3CDTF">2021-03-30T02:43:55Z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148277B246104C069442362C8D3F31B2</vt:lpwstr>
  </property>
</Properties>
</file>